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191 vom 16. Mai 1986</w:t>
      </w:r>
    </w:p>
    <w:p>
      <w:r>
        <w:t>Bundesgericht (BGE), 1986-05-16, DE</w:t>
      </w:r>
    </w:p>
    <w:p>
      <w:r>
        <w:rPr>
          <w:b/>
        </w:rPr>
        <w:t xml:space="preserve">Quelle: </w:t>
      </w:r>
      <w:r>
        <w:t>https://mcp.opencaselaw.ch/entscheid/bge_112 IB 191</w:t>
      </w:r>
    </w:p>
    <w:p>
      <w:r>
        <w:t>FR: BGE 112 IB 191 du 16 mai 1986</w:t>
      </w:r>
    </w:p>
    <w:p>
      <w:r>
        <w:t>IT: BGE 112 IB 191 del 16 maggio 1986</w:t>
      </w:r>
    </w:p>
    <w:p>
      <w:pPr>
        <w:pStyle w:val="Heading2"/>
      </w:pPr>
      <w:r>
        <w:t>Regeste</w:t>
      </w:r>
    </w:p>
    <w:p>
      <w:r>
        <w:t>Regeste Verordnung (1) zum Postverkehrsgesetz (PVV) und zugehörige Ausführungsbestimmungen; Standort von Brief- und Ablagekästen. Die in den Ausführungsbestimmungen zu Art. 156 Abs. 3 PVV 1 vorgesehene Pflicht zur Verschiebung der Brief- und Ablagekästen an die Grundstücksgrenze lässt sich nicht auf die PVV 1 abstützen und entbehrt somit der gesetzlichen Grundlage.</w:t>
      </w:r>
    </w:p>
    <w:p>
      <w:pPr>
        <w:pStyle w:val="Heading2"/>
      </w:pPr>
      <w:r>
        <w:t>Erwägungen</w:t>
      </w:r>
    </w:p>
    <w:p>
      <w:r>
        <w:rPr>
          <w:b/>
        </w:rPr>
        <w:t>E. 2</w:t>
      </w:r>
    </w:p>
    <w:p>
      <w:r>
        <w:t>Der Beschwerdeführer macht geltend, die vom Eidgenössischen Verkehrs- und Energiewirtschaftsdepartement gestützt auf Art. 156 Abs. 3 der Verordnung (1) zum Postverkehrsgesetz (PVV; SR 783.01) erlassenen Ausführungsbestimmungen hätten keine genügende gesetzliche Grundlage. Es mangle schon an der Gesetzeskonformität von Art. 156 Abs. 3 PVV. Zudem würden die fraglichen Ausführungsbestimmungen über den Delegationsrahmen von Art. 156 Abs. 3 hinausgehen. Im folgenden ist vorab dieser letztere Einwand zu untersuchen. Erweist er sich als zutreffend, erübrigt sich die Prüfung, ob Art. 156 BGE 112 Ib 191 S. 193 Abs. 3 PVV mit dem Postverkehrsgesetz (PVG; SR 783.0) vereinbar ist. a) Der Beschwerdeführer behauptet zu Recht nicht, dem Eidgenössischen Energie- und Verkehrswirtschaftsdepartement fehle generell die Kompetenz zum Erlass von Ausführungsbestimmungen. Wie das Bundesgericht bereits in BGE 104 Ib 367 festgestellt hat, werden die zum Vollzug des Postverkehrsgesetzes erforderlichen Vorschriften gemäss Art. 67 Abs. 2 PVG in der Vollziehungsverordnung des Bundesrates und in den dazugehörigen Ausführungsbestimmungen aufgestellt. Mit dem Hinweis auf die "zugehörigen Ausführungsbestimmungen" wird dem Bundesrat die Möglichkeit eingeräumt, gewisse Rechtssetzungsbefugnisse an die nachgeordneten Dienststellen weiterzudelegieren. In Art. 233 Abs. 1 PVV hat der Bundesrat bestimmt, dass die in Art. 67 Abs. 2 PVG vorgesehenen allgemein verpflichtenden Ausführungsbestimmungen vom Eidgenössischen Verkehrs- und Energiewirtschaftsdepartement erlassen werden, wogegen die Generaldirektion der PTT ermächtigt ist, zum Vollzug des PVG und der PVV nicht allgemein verpflichtende Ausführungsbestimmungen sowie die Verwaltungs- und Betriebsvorschriften zu erlassen. Gestützt auf diese Regelung in Verbindung mit Art. 156 Abs. 3 Satz 3 PVV war somit das Eidgenössische Verkehrs- und Energiewirtschaftsdepartement befugt, generell-abstrakte Normen über den Standort von Brief- und Ablagekästen zu erlassen. Fraglich ist, ob es mit den hier zur Diskussion stehenden Regeln den Delegationsrahmen überschritten hat. b) Satz 3 von Art. 156 Abs. PVV könnte nach seinem Wortlaut den Eindruck erwecken, der Bundesrat habe die Befugnis zum Erlass von Normen betreffend den Standort von Brief- und Ablagekästen gänzlich den zum Erlass von Ausführungsbestimmungen zuständigen Behörden delegieren wollen. Dies entspricht jedoch nicht dem Sinn der Bestimmung, wie sich namentlich aus Satz 2 von Art. 156 Abs. 3 PVV ergibt. Dort ist vorgesehen, dass bei Altbauten, bei denen Ablagekästen aus bau- oder feuerpolizeilichen Gründen weder im Hauseingang noch an der Hausfront und aus andern Gründen auch nicht im Freien angebracht werden können, von der Aufstellung solcher Kästen abgesehen werden kann. Dieser Regel liegt die Auffassung zugrunde, dass Ablagekästen im Hauseingang bzw. an der Hausfront angebracht werden können und zwar generell, nicht nur bei Altbauten, d.h. Bauten, die im Jahre 1974 bei Änderung der PVV bereits bestanden. Wenn BGE 112 Ib 191 S. 194 auf später erstellte Bauten nicht Bezug genommen wird, so offenbar deshalb, weil für diese die Aufstellung von Ablagekästen bei entsprechender baulicher Gestaltung zum vornherein als möglich angesehen wurde. Von den Briefkästen ist in Art. 156 Abs. 3 Satz 2 nicht die Rede. Daraus folgt aber nicht, dass diese nicht an die Hausfront bzw. in den Hauseingang gestellt werden dürfen. Wenn in der Bestimmung nur für Ablagekästen die Möglichkeit eines Verzichts auf die Aufstellung (bei Altbauten) vorgesehen ist, so einfach deshalb, weil bei Änderung der PVV im Jahre 1974 die bestehenden Bauten durchwegs bereits Briefkasten hatten; eine Regel, wonach auf die Aufstellung unter bestimmten Voraussetzungen verzichtet werden kann, hätte daher zum vornherein ins Leere gestossen. Dass Briefkästen ebenfalls an der Hausfront oder im Hauseingang angebracht werden dürfen, muss umso mehr gelten, als sie - jedenfalls zum grössten Teil - von jeher dort angebracht wurden. Das erklärt denn auch, warum der Bundesrat in Art. 156 Abs. 3 Satz 2 mit Selbstverständlichkeit davon ausgeht, Ablagekästen dürften an die Hausfront bzw. in den Hauseingang gestellt werden: Den Hauseigentümern sollte offenbar die Möglichkeit eingeräumt werden, die Ablagekästen dort aufzustellen, wo sich die Briefkästen von alters her befinden. Hätte der Bundesrat von dieser alteingesessenen Regelung abweichen wollen, würde sich in Art. 156 PVV wohl ein ausdrücklicher Hinweis finden. Mangels eines solchen kann nicht angenommen werden, das Departement sei befugt gewesen, grundsätzlich die Aufstellung der Briefkästen an der Grundstücksgrenze zu verlangen. Diese Auffassung findet ihre Bestätigung in Art. 156 Abs. 1 PVV. Wenn hier gesagt wird, Postsendungen würden dem Empfänger an dem in der Adresse angegebenen Ort (z.B. Wohnung, Geschäft, Atelier) zugestellt, so ist damit - wie in der PVV in der Fassung vom 23. Dezember 1955 noch ausdrücklich gesagt wurde und in Abs. 2 der heutigen Fassung von Art. 156 PVV immer noch gesagt wird - die Zustellung in die Wohnung etc. gemeint. Mit dem so verstandenen Art. 156 Abs. 1 PVV wäre eine Ordnung, wonach die Brief- (und Ablage-) Kästen grundsätzlich an die Grundstücksgrenze zu stellen sind, schwer vereinbar. c) Der Beschwerdeführer ist somit bei der heutigen Rechtslage berechtigt, die Zustellung der Post in die bestehenden Brief- und Ablagekästen zu verlangen. Ob der Bundesrat befugt wäre, dieses Recht in der PVV zu beschneiden, ohne die im PVG vorgesehene BGE 112 Ib 191 S. 195 Beförderungspflicht auf unzulässige Weise einzuschränken, braucht im vorliegenden Verfahren ebensowenig geprüft zu werden wie die Frage, ob die in Art. 156 Abs. 6 PVV für Grossüberbauungen bereits vorgesehene Möglichkeit der Ersetzung der Hauszustellung durch die Zustellung in eine zentral gelegene Postfachanlage mit der dem Postmonopol entsprechenden Beförderungspflicht vereinbar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